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center"/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Formul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á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ř pro odstoupen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í od Smlouvy</w:t>
      </w:r>
      <w:r>
        <w:rPr>
          <w:rFonts w:ascii="Calibri" w:hAnsi="Calibri" w:cs="Calibri" w:eastAsia="Calibri"/>
          <w:b/>
          <w:caps w:val="true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Adresát: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Ji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í Kolá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ček, Šanov 159, 27031 Šanov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2"/>
          <w:position w:val="0"/>
          <w:sz w:val="20"/>
          <w:shd w:fill="auto" w:val="clear"/>
        </w:rPr>
        <w:t xml:space="preserve">šuji, že odstupuji od Smlouvy:</w:t>
      </w:r>
    </w:p>
    <w:tbl>
      <w:tblPr/>
      <w:tblGrid>
        <w:gridCol w:w="3397"/>
        <w:gridCol w:w="5642"/>
      </w:tblGrid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Smlouvy: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íjmení: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E-mailová adresa: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96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í, kterého se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s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mlouva týká: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33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Zp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ůsob pro navr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ředků, př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ípadn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ě uveden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ísla bankovního ú</w:t>
            </w:r>
            <w:r>
              <w:rPr>
                <w:rFonts w:ascii="Calibri" w:hAnsi="Calibri" w:cs="Calibri" w:eastAsia="Calibri"/>
                <w:color w:val="auto"/>
                <w:spacing w:val="2"/>
                <w:position w:val="0"/>
                <w:sz w:val="20"/>
                <w:shd w:fill="auto" w:val="clear"/>
              </w:rPr>
              <w:t xml:space="preserve">čtu:</w:t>
            </w:r>
          </w:p>
        </w:tc>
        <w:tc>
          <w:tcPr>
            <w:tcW w:w="56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120" w:after="120" w:line="30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Do Vany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Arial" w:hAnsi="Arial" w:cs="Arial" w:eastAsia="Arial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